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bCs/>
          <w:sz w:val="30"/>
          <w:szCs w:val="30"/>
          <w:vertAlign w:val="baseline"/>
          <w:lang w:val="en-US" w:eastAsia="zh-CN"/>
        </w:rPr>
      </w:pPr>
      <w:r>
        <w:rPr>
          <w:rFonts w:hint="eastAsia"/>
          <w:b/>
          <w:bCs/>
          <w:sz w:val="30"/>
          <w:szCs w:val="30"/>
          <w:lang w:val="en-US" w:eastAsia="zh-CN"/>
        </w:rPr>
        <w:t>职业卫生评价报告网上信息公开</w:t>
      </w:r>
    </w:p>
    <w:tbl>
      <w:tblPr>
        <w:tblStyle w:val="6"/>
        <w:tblpPr w:leftFromText="180" w:rightFromText="180" w:vertAnchor="text" w:tblpXSpec="center" w:tblpY="1"/>
        <w:tblOverlap w:val="never"/>
        <w:tblW w:w="86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2830"/>
        <w:gridCol w:w="1020"/>
        <w:gridCol w:w="720"/>
        <w:gridCol w:w="572"/>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建设</w:t>
            </w:r>
            <w:r>
              <w:rPr>
                <w:rFonts w:hint="default" w:ascii="Times New Roman" w:hAnsi="Times New Roman" w:cs="Times New Roman"/>
                <w:b/>
                <w:bCs/>
                <w:sz w:val="21"/>
                <w:szCs w:val="21"/>
                <w:vertAlign w:val="baseline"/>
                <w:lang w:val="en-US" w:eastAsia="zh-CN"/>
              </w:rPr>
              <w:t>单位名称</w:t>
            </w:r>
          </w:p>
        </w:tc>
        <w:tc>
          <w:tcPr>
            <w:tcW w:w="38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大唐河南清洁能源有限责任公司临颍分公司</w:t>
            </w:r>
          </w:p>
        </w:tc>
        <w:tc>
          <w:tcPr>
            <w:tcW w:w="12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联系人</w:t>
            </w:r>
          </w:p>
        </w:tc>
        <w:tc>
          <w:tcPr>
            <w:tcW w:w="14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王宇翔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项目地址</w:t>
            </w:r>
          </w:p>
        </w:tc>
        <w:tc>
          <w:tcPr>
            <w:tcW w:w="6551" w:type="dxa"/>
            <w:gridSpan w:val="5"/>
            <w:noWrap w:val="0"/>
            <w:vAlign w:val="center"/>
          </w:tcPr>
          <w:p>
            <w:pPr>
              <w:pStyle w:val="7"/>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420" w:firstLineChars="200"/>
              <w:jc w:val="both"/>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kern w:val="2"/>
                <w:sz w:val="21"/>
                <w:szCs w:val="21"/>
                <w:lang w:val="en-US" w:eastAsia="zh-CN" w:bidi="ar-SA"/>
              </w:rPr>
              <w:t>建设项目工程总装机规模100MW</w:t>
            </w:r>
            <w:r>
              <w:rPr>
                <w:rFonts w:hint="default" w:ascii="Times New Roman" w:hAnsi="Times New Roman" w:eastAsia="宋体" w:cs="Times New Roman"/>
                <w:color w:val="auto"/>
                <w:sz w:val="21"/>
                <w:szCs w:val="21"/>
                <w:lang w:val="en-US" w:eastAsia="zh-CN"/>
              </w:rPr>
              <w:t>，风电场拟选择40台WTG5发电机组。风电场年理论发电量为37059万kW‧h，年设计发电量 36074万kW‧h，年上网电量26334万kW‧h，年等效满负荷小时数为2633h。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项目名称</w:t>
            </w:r>
          </w:p>
        </w:tc>
        <w:tc>
          <w:tcPr>
            <w:tcW w:w="6551" w:type="dxa"/>
            <w:gridSpan w:val="5"/>
            <w:noWrap w:val="0"/>
            <w:vAlign w:val="center"/>
          </w:tcPr>
          <w:p>
            <w:pPr>
              <w:jc w:val="center"/>
              <w:rPr>
                <w:rFonts w:hint="default" w:ascii="Times New Roman" w:hAnsi="Times New Roman" w:eastAsia="宋体" w:cs="Times New Roman"/>
                <w:color w:val="auto"/>
                <w:kern w:val="2"/>
                <w:sz w:val="21"/>
                <w:szCs w:val="21"/>
                <w:lang w:val="en-US" w:eastAsia="zh-CN"/>
              </w:rPr>
            </w:pPr>
            <w:bookmarkStart w:id="0" w:name="_GoBack"/>
            <w:r>
              <w:rPr>
                <w:rFonts w:hint="default" w:ascii="Times New Roman" w:hAnsi="Times New Roman" w:eastAsia="宋体" w:cs="Times New Roman"/>
                <w:color w:val="auto"/>
                <w:kern w:val="2"/>
                <w:sz w:val="21"/>
                <w:szCs w:val="21"/>
                <w:lang w:val="en-US" w:eastAsia="zh-CN"/>
              </w:rPr>
              <w:t>大唐河南清洁能源有限责任公司临颍分公司颍东风电场工程项目</w:t>
            </w:r>
          </w:p>
          <w:p>
            <w:pPr>
              <w:jc w:val="center"/>
              <w:rPr>
                <w:rFonts w:hint="default" w:ascii="Times New Roman" w:hAnsi="Times New Roman" w:cs="Times New Roman"/>
                <w:b w:val="0"/>
                <w:bCs w:val="0"/>
                <w:sz w:val="21"/>
                <w:szCs w:val="21"/>
                <w:vertAlign w:val="baseline"/>
                <w:lang w:val="en-US" w:eastAsia="zh-CN"/>
              </w:rPr>
            </w:pPr>
            <w:r>
              <w:rPr>
                <w:rFonts w:hint="eastAsia" w:ascii="Times New Roman" w:hAnsi="Times New Roman" w:eastAsia="宋体" w:cs="Times New Roman"/>
                <w:color w:val="auto"/>
                <w:kern w:val="2"/>
                <w:sz w:val="21"/>
                <w:szCs w:val="21"/>
                <w:lang w:val="en-US" w:eastAsia="zh-CN"/>
              </w:rPr>
              <w:t>职业病危害预评价</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shd w:val="clear" w:color="auto" w:fill="auto"/>
                <w:vertAlign w:val="baseline"/>
                <w:lang w:val="en-US" w:eastAsia="zh-CN"/>
              </w:rPr>
            </w:pPr>
            <w:r>
              <w:rPr>
                <w:rFonts w:hint="default" w:ascii="Times New Roman" w:hAnsi="Times New Roman" w:cs="Times New Roman"/>
                <w:b/>
                <w:bCs/>
                <w:sz w:val="21"/>
                <w:szCs w:val="21"/>
                <w:shd w:val="clear" w:color="auto" w:fill="auto"/>
                <w:vertAlign w:val="baseline"/>
                <w:lang w:val="en-US" w:eastAsia="zh-CN"/>
              </w:rPr>
              <w:t>项目简介</w:t>
            </w:r>
          </w:p>
        </w:tc>
        <w:tc>
          <w:tcPr>
            <w:tcW w:w="6551" w:type="dxa"/>
            <w:gridSpan w:val="5"/>
            <w:noWrap w:val="0"/>
            <w:vAlign w:val="center"/>
          </w:tcPr>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建设项目工程总装机规模100MW，风电场拟选择40台WTG5发电机组。风电场年理论发电量为37059万kW‧h，年设计发电量 36074万kW‧h，年上网电量26334万kW‧h，年等效满负荷小时数为2633h。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项目负责人</w:t>
            </w:r>
          </w:p>
        </w:tc>
        <w:tc>
          <w:tcPr>
            <w:tcW w:w="28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徐东</w:t>
            </w:r>
          </w:p>
        </w:tc>
        <w:tc>
          <w:tcPr>
            <w:tcW w:w="1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采样检测人员</w:t>
            </w:r>
          </w:p>
        </w:tc>
        <w:tc>
          <w:tcPr>
            <w:tcW w:w="19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时间</w:t>
            </w:r>
          </w:p>
        </w:tc>
        <w:tc>
          <w:tcPr>
            <w:tcW w:w="28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kern w:val="2"/>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2019.06</w:t>
            </w:r>
          </w:p>
        </w:tc>
        <w:tc>
          <w:tcPr>
            <w:tcW w:w="1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用人单位陪同人</w:t>
            </w:r>
          </w:p>
        </w:tc>
        <w:tc>
          <w:tcPr>
            <w:tcW w:w="198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val="0"/>
                <w:bCs w:val="0"/>
                <w:sz w:val="21"/>
                <w:szCs w:val="21"/>
                <w:vertAlign w:val="baseline"/>
                <w:lang w:val="en-US" w:eastAsia="zh-CN"/>
              </w:rPr>
              <w:t>王宇翔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建设项目</w:t>
            </w:r>
            <w:r>
              <w:rPr>
                <w:rFonts w:hint="default" w:ascii="Times New Roman" w:hAnsi="Times New Roman" w:cs="Times New Roman"/>
                <w:b/>
                <w:bCs/>
                <w:sz w:val="21"/>
                <w:szCs w:val="21"/>
                <w:vertAlign w:val="baseline"/>
                <w:lang w:val="en-US" w:eastAsia="zh-CN"/>
              </w:rPr>
              <w:t>存在的职业病危害因素</w:t>
            </w:r>
          </w:p>
        </w:tc>
        <w:tc>
          <w:tcPr>
            <w:tcW w:w="6551" w:type="dxa"/>
            <w:gridSpan w:val="5"/>
            <w:noWrap w:val="0"/>
            <w:vAlign w:val="center"/>
          </w:tcPr>
          <w:p>
            <w:pPr>
              <w:keepNext w:val="0"/>
              <w:keepLines w:val="0"/>
              <w:pageBreakBefore w:val="0"/>
              <w:kinsoku/>
              <w:wordWrap/>
              <w:overflowPunct/>
              <w:topLinePunct w:val="0"/>
              <w:autoSpaceDE/>
              <w:autoSpaceDN/>
              <w:bidi w:val="0"/>
              <w:adjustRightInd/>
              <w:snapToGrid/>
              <w:spacing w:beforeLines="0" w:afterLines="0" w:line="320" w:lineRule="exact"/>
              <w:ind w:firstLine="420" w:firstLineChars="200"/>
              <w:textAlignment w:val="auto"/>
              <w:rPr>
                <w:rFonts w:hint="default" w:ascii="Times New Roman" w:hAnsi="Times New Roman" w:cs="Times New Roman"/>
                <w:b/>
                <w:bCs/>
                <w:sz w:val="21"/>
                <w:szCs w:val="21"/>
                <w:vertAlign w:val="baseline"/>
                <w:lang w:val="en-US" w:eastAsia="zh-CN"/>
              </w:rPr>
            </w:pPr>
            <w:r>
              <w:rPr>
                <w:rFonts w:hint="eastAsia"/>
              </w:rPr>
              <w:t>建设项目生产工艺过程中的产生或存在的主要职业病危害因素为工频电场、噪声；</w:t>
            </w:r>
            <w:r>
              <w:rPr>
                <w:rFonts w:hint="eastAsia" w:ascii="仿宋_GB2312"/>
              </w:rPr>
              <w:t>生产环境中可能存在高温、低温不良气象条件及采光照明不足；劳动过程中存在不良体位等。</w:t>
            </w:r>
            <w:r>
              <w:rPr>
                <w:rFonts w:hint="default" w:eastAsia="宋体"/>
                <w:szCs w:val="22"/>
                <w:lang w:val="en-US" w:eastAsia="zh-CN"/>
              </w:rPr>
              <w:t>施工过程中可能产生的职业病危害因素有粉尘（电焊烟尘、水泥粉尘、矽尘、金属粉尘、其他粉尘）、毒物（氮氧化物、一氧化碳、二氧化硫、锰及其化合物、臭氧、沥青烟、苯、甲苯、二甲苯、汽油）、物理因素（噪声、手传振动、高温、紫外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评价结论与建议</w:t>
            </w:r>
          </w:p>
        </w:tc>
        <w:tc>
          <w:tcPr>
            <w:tcW w:w="6551" w:type="dxa"/>
            <w:gridSpan w:val="5"/>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rPr>
                <w:rFonts w:hint="default"/>
                <w:lang w:val="en-US" w:eastAsia="zh-CN"/>
              </w:rPr>
            </w:pPr>
            <w:r>
              <w:rPr>
                <w:rFonts w:hint="default"/>
                <w:lang w:val="en-US" w:eastAsia="zh-CN"/>
              </w:rPr>
              <w:t>通过类比调查与检测，结合建设项目的生产工艺和拟采取的职业病危害防护措施，建设项目生产过程中产生的职业病危害因素的浓度及强度预期可能符合职业接触限值的要求。</w:t>
            </w:r>
          </w:p>
          <w:p>
            <w:pPr>
              <w:keepNext w:val="0"/>
              <w:keepLines w:val="0"/>
              <w:pageBreakBefore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rPr>
                <w:rFonts w:hint="default"/>
                <w:lang w:val="en-US" w:eastAsia="zh-CN"/>
              </w:rPr>
            </w:pPr>
            <w:r>
              <w:rPr>
                <w:rFonts w:hint="default"/>
                <w:lang w:val="en-US" w:eastAsia="zh-CN"/>
              </w:rPr>
              <w:t>建设项目《国民经济行业分类》（GB/T 4754-2017）属于D类电力、热力生产和供应业；44电力、热力生产和供应业；441电力生产中的“4415风力发电”，根据《建设项目职业病危害风险分类管理目录》（安监总安健〔2012〕73号）的规定，经综合分析，判定建设项目职业病危害风险分类属于职业病危害“一般”的建设项目。</w:t>
            </w:r>
          </w:p>
          <w:p>
            <w:pPr>
              <w:keepNext w:val="0"/>
              <w:keepLines w:val="0"/>
              <w:pageBreakBefore w:val="0"/>
              <w:kinsoku/>
              <w:wordWrap/>
              <w:overflowPunct/>
              <w:topLinePunct w:val="0"/>
              <w:autoSpaceDE/>
              <w:autoSpaceDN/>
              <w:bidi w:val="0"/>
              <w:adjustRightInd/>
              <w:snapToGrid/>
              <w:spacing w:line="320" w:lineRule="exact"/>
              <w:ind w:left="0" w:leftChars="0" w:right="0" w:rightChars="0" w:firstLine="420" w:firstLineChars="200"/>
              <w:textAlignment w:val="auto"/>
              <w:outlineLvl w:val="9"/>
              <w:rPr>
                <w:rFonts w:hint="default"/>
                <w:lang w:val="en-US" w:eastAsia="zh-CN"/>
              </w:rPr>
            </w:pPr>
            <w:r>
              <w:rPr>
                <w:rFonts w:hint="eastAsia" w:eastAsia="宋体"/>
                <w:szCs w:val="22"/>
                <w:lang w:val="en-US" w:eastAsia="zh-CN"/>
              </w:rPr>
              <w:t>建议详见资料性附件</w:t>
            </w:r>
            <w:r>
              <w:rPr>
                <w:rFonts w:hint="default" w:eastAsia="宋体"/>
                <w:szCs w:val="22"/>
                <w:lang w:val="en-US" w:eastAsia="zh-CN"/>
              </w:rPr>
              <w:t>F5 职业病防护补充措施及建议</w:t>
            </w:r>
            <w:r>
              <w:rPr>
                <w:rFonts w:hint="eastAsia" w:eastAsia="宋体"/>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专家组评审意见</w:t>
            </w:r>
          </w:p>
        </w:tc>
        <w:tc>
          <w:tcPr>
            <w:tcW w:w="6551" w:type="dxa"/>
            <w:gridSpan w:val="5"/>
            <w:noWrap w:val="0"/>
            <w:vAlign w:val="center"/>
          </w:tcPr>
          <w:p>
            <w:pPr>
              <w:pStyle w:val="2"/>
              <w:keepNext w:val="0"/>
              <w:keepLines w:val="0"/>
              <w:pageBreakBefore w:val="0"/>
              <w:widowControl/>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val="0"/>
                <w:bCs w:val="0"/>
                <w:kern w:val="2"/>
                <w:sz w:val="21"/>
                <w:szCs w:val="21"/>
                <w:vertAlign w:val="baseline"/>
                <w:lang w:val="en-US" w:eastAsia="zh-CN"/>
              </w:rPr>
              <w:t>整改之后通过。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备注</w:t>
            </w:r>
          </w:p>
        </w:tc>
        <w:tc>
          <w:tcPr>
            <w:tcW w:w="655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cs="Times New Roman"/>
                <w:lang w:val="en-US" w:eastAsia="zh-CN"/>
              </w:rPr>
              <w:t>已按照专家组意见整改。</w:t>
            </w:r>
          </w:p>
        </w:tc>
      </w:tr>
    </w:tbl>
    <w:p>
      <w:pPr>
        <w:pStyle w:val="8"/>
        <w:rPr>
          <w:rFonts w:hint="default" w:ascii="Times New Roman" w:hAnsi="Times New Roman" w:cs="Times New Roman"/>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cs="Times New Roman"/>
          <w:lang w:val="en-US" w:eastAsia="zh-CN"/>
        </w:rPr>
        <w:drawing>
          <wp:inline distT="0" distB="0" distL="114300" distR="114300">
            <wp:extent cx="5268595" cy="7450455"/>
            <wp:effectExtent l="0" t="0" r="8255" b="17145"/>
            <wp:docPr id="1" name="图片 1" descr="doc06203920190906090227_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c06203920190906090227_004"/>
                    <pic:cNvPicPr>
                      <a:picLocks noChangeAspect="1"/>
                    </pic:cNvPicPr>
                  </pic:nvPicPr>
                  <pic:blipFill>
                    <a:blip r:embed="rId4"/>
                    <a:stretch>
                      <a:fillRect/>
                    </a:stretch>
                  </pic:blipFill>
                  <pic:spPr>
                    <a:xfrm>
                      <a:off x="0" y="0"/>
                      <a:ext cx="5268595" cy="7450455"/>
                    </a:xfrm>
                    <a:prstGeom prst="rect">
                      <a:avLst/>
                    </a:prstGeom>
                    <a:noFill/>
                    <a:ln w="9525">
                      <a:noFill/>
                    </a:ln>
                  </pic:spPr>
                </pic:pic>
              </a:graphicData>
            </a:graphic>
          </wp:inline>
        </w:drawing>
      </w:r>
    </w:p>
    <w:p>
      <w:r>
        <w:rPr>
          <w:rFonts w:hint="default" w:ascii="Times New Roman" w:hAnsi="Times New Roman" w:cs="Times New Roman"/>
          <w:lang w:val="en-US" w:eastAsia="zh-CN"/>
        </w:rPr>
        <w:drawing>
          <wp:inline distT="0" distB="0" distL="114300" distR="114300">
            <wp:extent cx="5268595" cy="7450455"/>
            <wp:effectExtent l="0" t="0" r="8255" b="17145"/>
            <wp:docPr id="2" name="图片 2" descr="doc06203920190906090227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oc06203920190906090227_005"/>
                    <pic:cNvPicPr>
                      <a:picLocks noChangeAspect="1"/>
                    </pic:cNvPicPr>
                  </pic:nvPicPr>
                  <pic:blipFill>
                    <a:blip r:embed="rId5"/>
                    <a:stretch>
                      <a:fillRect/>
                    </a:stretch>
                  </pic:blipFill>
                  <pic:spPr>
                    <a:xfrm>
                      <a:off x="0" y="0"/>
                      <a:ext cx="5268595" cy="745045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538DB"/>
    <w:rsid w:val="3764095A"/>
    <w:rsid w:val="7FF53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3">
    <w:name w:val="heading 3"/>
    <w:basedOn w:val="1"/>
    <w:next w:val="1"/>
    <w:semiHidden/>
    <w:unhideWhenUsed/>
    <w:qFormat/>
    <w:uiPriority w:val="0"/>
    <w:pPr>
      <w:keepNext/>
      <w:keepLines/>
      <w:spacing w:before="260" w:beforeLines="0" w:after="260" w:afterLines="0" w:line="413" w:lineRule="auto"/>
      <w:jc w:val="left"/>
      <w:outlineLvl w:val="2"/>
    </w:pPr>
    <w:rPr>
      <w:rFonts w:ascii="Times New Roman" w:hAnsi="Times New Roman" w:eastAsia="宋体"/>
      <w:b/>
      <w:bCs/>
      <w:sz w:val="24"/>
      <w:szCs w:val="32"/>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rPr>
      <w:rFonts w:hint="eastAsia"/>
      <w:sz w:val="84"/>
    </w:rPr>
  </w:style>
  <w:style w:type="table" w:styleId="6">
    <w:name w:val="Table Grid"/>
    <w:basedOn w:val="5"/>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勤正文"/>
    <w:basedOn w:val="1"/>
    <w:qFormat/>
    <w:uiPriority w:val="99"/>
    <w:pPr>
      <w:widowControl/>
      <w:spacing w:line="360" w:lineRule="auto"/>
      <w:ind w:firstLine="480" w:firstLineChars="200"/>
    </w:pPr>
    <w:rPr>
      <w:rFonts w:ascii="Times New Roman" w:hAnsi="Times New Roman" w:eastAsia="宋体" w:cs="Times New Roman"/>
      <w:sz w:val="24"/>
      <w:szCs w:val="24"/>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2020-09-22T03:06:00Z</dcterms:created>
  <dc:creator>高源</dc:creator>
  <cp:lastModifiedBy>高源</cp:lastModifiedBy>
  <dcterms:modified xsi:type="dcterms:W3CDTF">2020-09-22T03:06:30Z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