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232"/>
        <w:gridCol w:w="1125"/>
        <w:gridCol w:w="435"/>
        <w:gridCol w:w="750"/>
        <w:gridCol w:w="585"/>
        <w:gridCol w:w="522"/>
        <w:gridCol w:w="1132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792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t>郑州华威耐火材料有限公司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54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刘俊杰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t>郑州华威耐火材料有限公司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职业病危害现状评价报告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河南省新密市岳村镇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秦永亮、张志明、李洪民、张九会、冯娟、龙鹏飞、闫佳玲、王小康、禹红梅、温晨飞、姬栋梁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张志明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/>
              </w:rPr>
              <w:t>、张芳燕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10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刘俊杰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张九会、冯娟、龙鹏飞、闫佳玲、王小康、禹红梅、温晨飞、姬栋梁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3月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日~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3月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10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刘俊杰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3481705" cy="2099945"/>
                  <wp:effectExtent l="0" t="0" r="4445" b="14605"/>
                  <wp:docPr id="14" name="图片 14" descr="754c988ac422e403dfa1207aea69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54c988ac422e403dfa1207aea691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70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drawing>
                <wp:inline distT="0" distB="0" distL="114300" distR="114300">
                  <wp:extent cx="3505200" cy="1690370"/>
                  <wp:effectExtent l="0" t="0" r="0" b="5080"/>
                  <wp:docPr id="18" name="图片 18" descr="f629cdc36a2af2ec95cd49f2530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629cdc36a2af2ec95cd49f253074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4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6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462020" cy="2035810"/>
                  <wp:effectExtent l="0" t="0" r="5080" b="2540"/>
                  <wp:docPr id="2" name="图片 2" descr="9e0995adc229b53c48bec26b8b26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0995adc229b53c48bec26b8b268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02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4666A8"/>
    <w:rsid w:val="28EB35AB"/>
    <w:rsid w:val="393451B1"/>
    <w:rsid w:val="46115E53"/>
    <w:rsid w:val="4AE851BF"/>
    <w:rsid w:val="5F4D55C3"/>
    <w:rsid w:val="752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